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5B226" w14:textId="77777777" w:rsidR="002D3E5B" w:rsidRDefault="002D3E5B"/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2D3E5B" w14:paraId="70E462E2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383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2BE9" w14:textId="77777777" w:rsidR="002D3E5B" w:rsidRPr="004E0A91" w:rsidRDefault="002D3E5B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2D3E5B" w14:paraId="2D334B25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EC2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E642" w14:textId="77777777"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2D3E5B" w14:paraId="76FD2CDB" w14:textId="77777777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3C3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A7F4" w14:textId="77777777"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 Yardımcısı</w:t>
            </w:r>
          </w:p>
        </w:tc>
      </w:tr>
      <w:tr w:rsidR="002D3E5B" w14:paraId="13108A7D" w14:textId="77777777" w:rsidTr="00F10460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B914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14:paraId="6EFF2747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C807" w14:textId="77777777"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</w:t>
            </w:r>
          </w:p>
        </w:tc>
      </w:tr>
      <w:tr w:rsidR="002D3E5B" w14:paraId="6C02490B" w14:textId="77777777" w:rsidTr="00F10460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9DFF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2F81" w14:textId="77CE9ABE" w:rsidR="002D3E5B" w:rsidRPr="001001FA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Bölüm Başkanı, Anabilim Dalı Başkanı</w:t>
            </w:r>
            <w:r w:rsidR="002D4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Fakülte Sekreteri, Şef, Tekniker, Bilgisayar İşletmeni, İşçi, Hizmetli</w:t>
            </w:r>
          </w:p>
        </w:tc>
      </w:tr>
      <w:tr w:rsidR="002D3E5B" w14:paraId="30ADD0D0" w14:textId="77777777" w:rsidTr="00F10460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B64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14:paraId="0E5C907E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7FD" w14:textId="77777777" w:rsidR="002D3E5B" w:rsidRPr="001001FA" w:rsidRDefault="001453D5" w:rsidP="001453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Diğer Dekan Yardımcısı, Zorunlu hallerde başka bir öğretim üyesi</w:t>
            </w:r>
          </w:p>
        </w:tc>
      </w:tr>
      <w:tr w:rsidR="002D3E5B" w14:paraId="2A1B9029" w14:textId="77777777" w:rsidTr="00F10460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957B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14:paraId="3DE341F6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FA3" w14:textId="77777777" w:rsidR="001453D5" w:rsidRPr="001001FA" w:rsidRDefault="001453D5" w:rsidP="001453D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Öğretim Elemanı niteliklerine sahip olmak,</w:t>
            </w:r>
          </w:p>
          <w:p w14:paraId="3A09EED1" w14:textId="77777777" w:rsidR="002D3E5B" w:rsidRPr="00B356B8" w:rsidRDefault="001453D5" w:rsidP="001453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2D3E5B" w14:paraId="3C96E4EE" w14:textId="77777777" w:rsidTr="00F10460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2C43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0F76" w14:textId="77777777" w:rsidR="002D3E5B" w:rsidRPr="001001FA" w:rsidRDefault="001453D5" w:rsidP="0010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 üst yönetimi tarafından belirlenen amaç ve ilkeler doğrultusunda; Fakültenin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ve misyonu çerçevesinde, birimin tüm faaliyetleri ile ilgili, etkinlik ve verimlilik ilkelerine uygun olarak yürütülmesi amacıyla, çalışmalar yapar. </w:t>
            </w:r>
            <w:r w:rsidR="001001FA" w:rsidRPr="001001FA">
              <w:rPr>
                <w:rFonts w:ascii="Times New Roman" w:hAnsi="Times New Roman" w:cs="Times New Roman"/>
                <w:sz w:val="24"/>
                <w:szCs w:val="24"/>
              </w:rPr>
              <w:t>Dekanın</w:t>
            </w: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akademik ve idari faaliyetleri ile ilgili verdiği görevleri ilgili yasal mevzuat kapsamında yerine getirir.</w:t>
            </w:r>
          </w:p>
        </w:tc>
      </w:tr>
      <w:tr w:rsidR="002D3E5B" w14:paraId="39680A01" w14:textId="77777777" w:rsidTr="00B25EB5">
        <w:trPr>
          <w:trHeight w:val="43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47BF" w14:textId="77777777" w:rsidR="002D3E5B" w:rsidRDefault="002D3E5B" w:rsidP="00F104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103A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Dekana, görevi başında olmadığı zamanlarda vekâlet etmek, </w:t>
            </w:r>
          </w:p>
          <w:p w14:paraId="01555080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yerleşkesinde gerekli güvenlik tedbirlerinin alınmasını sağlamak, </w:t>
            </w:r>
          </w:p>
          <w:p w14:paraId="40FDE04B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hedefleri ve stratejilerinin belirlenmesi yönünde gerekli çalışmaların yapılmasını sağlamak, </w:t>
            </w:r>
          </w:p>
          <w:p w14:paraId="66927403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Teknik/teknolojik ve fiziki altyapının planlanması, verimli kullanımı ve iyileştirilmesini sağlamak, </w:t>
            </w:r>
          </w:p>
          <w:p w14:paraId="1B79896F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Akademik ve idari personelin atanma, kadro, izin, rapor ve diğer özlük haklarını izlemek, bu konularda personelin isteklerini dinlemek, çözüme kavuşturmak, </w:t>
            </w:r>
          </w:p>
          <w:p w14:paraId="209A21D8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Fakültede özlük hakları, akademik ve idari personel alımı, süre uzatma, idari soruşturma gibi personel işlerinin koordinasyonunu ve yürütülmesini sağlamak, ilgili komisyonları oluşturmak.</w:t>
            </w:r>
          </w:p>
          <w:p w14:paraId="54112FFD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Öğrenci sorunlarını Dekan adına dinlemek ve çözüme kavuşturmak, </w:t>
            </w:r>
          </w:p>
          <w:p w14:paraId="326AD28E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Yatay Geçiş, Dikey Geçiş, Çift </w:t>
            </w:r>
            <w:proofErr w:type="spellStart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Anadal</w:t>
            </w:r>
            <w:proofErr w:type="spellEnd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Yandal</w:t>
            </w:r>
            <w:proofErr w:type="spellEnd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Yabancı öğrenci kabulü ile ilgili çalışmaların takibini yapmak, </w:t>
            </w:r>
          </w:p>
          <w:p w14:paraId="471C5CAA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Öğrencilerin ders uyumu ve muafiyeti ile ilgili komisyonlara başkanlık etmek, </w:t>
            </w:r>
          </w:p>
          <w:p w14:paraId="261BBFC0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Ders planları, dersliklerin dağılımı, sınav programları ile ilgili çalışmaları planlamak, </w:t>
            </w:r>
          </w:p>
          <w:p w14:paraId="1197E200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Sınavların zamanında yapılmasını, dersliklerin etkin bir şekilde kullanılmasını sağlamak, </w:t>
            </w:r>
          </w:p>
          <w:p w14:paraId="0AC5C4CA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Fakültenin uluslararası ilişkilerinin arttırılması ve yürütülmesinde Dekana yardımcı olmak,</w:t>
            </w:r>
          </w:p>
          <w:p w14:paraId="601B21FE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Dekanın katılamadığı durumlarda dış paydaşlarla ilgili toplantılarda fakülteyi temsil etmek ve ikili ilişkileri yürütmek, </w:t>
            </w:r>
          </w:p>
          <w:p w14:paraId="0BF3F859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Tahakkuk, taşınır mal kayıt kontrol, satın alma, bütçe ve ödenek durumlarının takibini yapmak, </w:t>
            </w:r>
          </w:p>
          <w:p w14:paraId="298B3777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Kurulu ve Fakülte Yönetim Kurulu kararlarını kontrol etmek ve ilgili birimlere iletilmesini sağlamak, </w:t>
            </w:r>
          </w:p>
          <w:p w14:paraId="5CDB8E7F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Fakültede iş güvenliği, iş sağlığı ve risk değerlendirme ile ilgili çalışmaları yürütmek, </w:t>
            </w:r>
          </w:p>
          <w:p w14:paraId="6DF675CD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Tahakkuk ve ayniyat hizmetlerini denetlemek, depoların düzenli tutulmasını sağlamak,</w:t>
            </w:r>
          </w:p>
          <w:p w14:paraId="2312273F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WEB sayfasının sürekli takibini yapmak, </w:t>
            </w:r>
          </w:p>
          <w:p w14:paraId="0A78536A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tarafından düzenlenecek resmi açılış, tören ve öğrenci etkinliklerini organize etmek, </w:t>
            </w:r>
          </w:p>
          <w:p w14:paraId="4524AD79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Çalışma ortamında iş sağlığı ve güvenliği ile ilgili hususların uygulanması konusunda gerekli uyarıları yapmak, </w:t>
            </w:r>
          </w:p>
          <w:p w14:paraId="2B1FDBFE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Bağlı olduğu süreç ile üst yöneticileri tarafından verilen diğer iş ve işlemleri yapmak.</w:t>
            </w:r>
          </w:p>
          <w:p w14:paraId="00475B5F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Göreviyle ilgili evrak, eşya araç ve gereçleri korumak ve saklamak, </w:t>
            </w:r>
          </w:p>
          <w:p w14:paraId="4C88F28D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 tarafından belirlenecek yetki ve görev dağılımına göre Dekana yardımcı olmak, </w:t>
            </w:r>
          </w:p>
          <w:p w14:paraId="3CCDD70D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2547 sayılı Yükseköğretim Kanunu kapsamında akademik görevlerini yerine getirmek,</w:t>
            </w:r>
          </w:p>
          <w:p w14:paraId="3FBFEF0E" w14:textId="77777777"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Dekan tarafından verilecek benzeri görevleri yapmak.</w:t>
            </w:r>
          </w:p>
          <w:p w14:paraId="4142C40D" w14:textId="77777777" w:rsidR="002D3E5B" w:rsidRPr="007676CE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Görevlerinden dolayı Dekana karşı sorumludur.</w:t>
            </w:r>
          </w:p>
        </w:tc>
      </w:tr>
      <w:tr w:rsidR="002D3E5B" w14:paraId="0CE128EF" w14:textId="77777777" w:rsidTr="00F10460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95B0" w14:textId="77777777"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F6C29" w14:textId="77777777"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14:paraId="0BE537F7" w14:textId="77777777"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Faaliyetlerin gerçekleştirilmesi için gerekli araç ve gereci kullanır. </w:t>
            </w:r>
          </w:p>
          <w:p w14:paraId="73A0B4C0" w14:textId="77777777"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Üniversitesinin temsil yetkisini kullanır. </w:t>
            </w:r>
          </w:p>
          <w:p w14:paraId="77432887" w14:textId="77777777"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Dekana vekâlet etmesi halinde;</w:t>
            </w:r>
          </w:p>
          <w:p w14:paraId="6676A9C5" w14:textId="77777777"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İmza yetkisine sahiptir.</w:t>
            </w:r>
          </w:p>
          <w:p w14:paraId="715BC59A" w14:textId="77777777"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Harcama yetkisi kullanır. </w:t>
            </w:r>
          </w:p>
          <w:p w14:paraId="68B89962" w14:textId="77777777" w:rsidR="002D3E5B" w:rsidRDefault="001001FA" w:rsidP="00B25EB5">
            <w:pPr>
              <w:pStyle w:val="ListeParagraf"/>
              <w:ind w:left="835"/>
              <w:jc w:val="both"/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Emrindeki yönetici ve personele iş verme, yönlendirme, yaptıkları işleri kontrol etme, düzeltme, gerektiğinde uyarma, bilgi ve rapor isteme yetkisine sahiptir.</w:t>
            </w:r>
          </w:p>
        </w:tc>
      </w:tr>
      <w:tr w:rsidR="002D3E5B" w14:paraId="3EE4DCA7" w14:textId="77777777" w:rsidTr="00F10460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49E" w14:textId="77777777" w:rsidR="002D3E5B" w:rsidRDefault="002D3E5B" w:rsidP="00F10460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C94A" w14:textId="77777777"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9F832" w14:textId="77777777" w:rsidR="002D3E5B" w:rsidRDefault="002D3E5B" w:rsidP="00F10460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3679C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AB686" w14:textId="77777777" w:rsidR="002D3E5B" w:rsidRDefault="002D3E5B" w:rsidP="00F1046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8E70F" w14:textId="77777777"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2D3E5B" w:rsidRPr="00847DED" w14:paraId="14D1937C" w14:textId="77777777" w:rsidTr="00F10460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C0F8" w14:textId="77777777" w:rsidR="002D3E5B" w:rsidRPr="00847DED" w:rsidRDefault="002D3E5B" w:rsidP="00F1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D3D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14:paraId="2FBEDE28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5D6738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424D9C2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366C1840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Detaylara önem verme</w:t>
            </w:r>
          </w:p>
          <w:p w14:paraId="6BEB1CCC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BCBE3D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14:paraId="24DAF50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14:paraId="7EF65F8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14:paraId="4CBBF6BE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14:paraId="61F5A71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1930C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14:paraId="6970CD9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14:paraId="278C9D8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85402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14:paraId="0AFB03C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CC49B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14:paraId="6A36128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771C5B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14:paraId="22BA12C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14:paraId="576F69AE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14:paraId="68362F0C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14:paraId="01B7BC5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14:paraId="00C165C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1669FC5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14:paraId="7B01F11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14:paraId="148B9AA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14:paraId="4AB85EF8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14:paraId="1E201E5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14:paraId="5137FB8A" w14:textId="77777777"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9CF79" w14:textId="77777777"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935D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14:paraId="43734DB3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Edinme Hakkı Mevzuatı Bilgisi</w:t>
            </w:r>
          </w:p>
          <w:p w14:paraId="3978A8A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14:paraId="64EA628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14:paraId="0ED2FC23" w14:textId="77777777" w:rsidR="001001FA" w:rsidRPr="00272D7B" w:rsidRDefault="001001FA" w:rsidP="001001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CİMER ve Bilgi Edinme Süreci Bilgisi</w:t>
            </w:r>
          </w:p>
          <w:p w14:paraId="4F1F8070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Bütçe Mevzuatı Bilgisi</w:t>
            </w:r>
          </w:p>
          <w:p w14:paraId="068F2B9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Bütçe</w:t>
            </w:r>
          </w:p>
          <w:p w14:paraId="3D88371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Disiplin Mevzuatı Bilgisi</w:t>
            </w:r>
          </w:p>
          <w:p w14:paraId="2DB560A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14:paraId="224948C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14:paraId="70799B8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14:paraId="0451AFA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14:paraId="4CCCEA3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Muhasebe Mevzuatı Bilgisi</w:t>
            </w:r>
          </w:p>
          <w:p w14:paraId="6C41470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14:paraId="1F4F6AC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</w:p>
          <w:p w14:paraId="44BF4E6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14:paraId="7A2F6230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Teşvik ve Ödüllendirme Sistemleri</w:t>
            </w:r>
          </w:p>
          <w:p w14:paraId="06D6C20E" w14:textId="77777777" w:rsidR="002D3E5B" w:rsidRPr="00272D7B" w:rsidRDefault="001001FA" w:rsidP="001001FA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F34E0" w14:textId="77777777"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C728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14:paraId="17C1A5E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Araştırma Ortamı Yaratma</w:t>
            </w:r>
          </w:p>
          <w:p w14:paraId="7B05EC4C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Toplama ve Organizasyonu</w:t>
            </w:r>
          </w:p>
          <w:p w14:paraId="2D4722F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Bireysel Performans İyileştirme</w:t>
            </w:r>
          </w:p>
          <w:p w14:paraId="1D14FAE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14:paraId="48E9567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14:paraId="3AA6ED1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14:paraId="30E19D3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Değer Yaratma</w:t>
            </w:r>
          </w:p>
          <w:p w14:paraId="5A58FA0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14:paraId="227BECF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14:paraId="073E186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Eş Düzey İlişkiler</w:t>
            </w:r>
          </w:p>
          <w:p w14:paraId="743AA6AA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Etik Değerlere Sahip Olma</w:t>
            </w:r>
          </w:p>
          <w:p w14:paraId="0918CF0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14:paraId="17CA2DF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Etkili Karar Verme</w:t>
            </w:r>
          </w:p>
          <w:p w14:paraId="4251EC9E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Fikir Üretme/Öneri Geliştirme</w:t>
            </w:r>
          </w:p>
          <w:p w14:paraId="5BEF305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Hizmete Önem Verme</w:t>
            </w:r>
          </w:p>
          <w:p w14:paraId="021EED6D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14:paraId="7787245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</w:p>
          <w:p w14:paraId="168940B3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14:paraId="2A83D49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14:paraId="1E7F7C3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14:paraId="1BCD689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14:paraId="3232CA3E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14:paraId="61856E6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14:paraId="56E898D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 Kültürü Yaratma</w:t>
            </w:r>
          </w:p>
          <w:p w14:paraId="343C57E2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</w:p>
          <w:p w14:paraId="0A04428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Maliyet Duyarlılık</w:t>
            </w:r>
          </w:p>
          <w:p w14:paraId="6079358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ve Gelişim Yönetimi</w:t>
            </w:r>
          </w:p>
          <w:p w14:paraId="2508030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14:paraId="3F6985E7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Rapor Yorumlama</w:t>
            </w:r>
          </w:p>
          <w:p w14:paraId="4E42BEA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Rehberlik ve Öğretme</w:t>
            </w:r>
          </w:p>
          <w:p w14:paraId="71987D9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  <w:p w14:paraId="02178FF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Sağduyu</w:t>
            </w:r>
          </w:p>
          <w:p w14:paraId="5CFA6C2A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14:paraId="0E147003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14:paraId="4119EB05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  <w:p w14:paraId="1A5A070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Süreç Yönetimi</w:t>
            </w:r>
          </w:p>
          <w:p w14:paraId="0ACCFDE0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Teknoloji Odaklılık</w:t>
            </w:r>
          </w:p>
          <w:p w14:paraId="75343BC9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Temsil Yeteneği</w:t>
            </w:r>
          </w:p>
          <w:p w14:paraId="6FE67DC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  <w:p w14:paraId="78756EB3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Üst Yönetici İlişkileri</w:t>
            </w:r>
          </w:p>
          <w:p w14:paraId="4C24B6A6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Verimlilik</w:t>
            </w:r>
          </w:p>
          <w:p w14:paraId="377FCE41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Vizyon Sahibi Olma</w:t>
            </w:r>
          </w:p>
          <w:p w14:paraId="3D18662F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Yazışma ve Belge Yönetimi</w:t>
            </w:r>
          </w:p>
          <w:p w14:paraId="6C14F95B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Yenilikçilik</w:t>
            </w:r>
          </w:p>
          <w:p w14:paraId="7BAF018E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Yetkilendirme</w:t>
            </w:r>
          </w:p>
          <w:p w14:paraId="03DB9B34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Yorumlama ve Değerlendirme</w:t>
            </w:r>
          </w:p>
          <w:p w14:paraId="1ADDBBB0" w14:textId="77777777"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Yönetsel Liderlik</w:t>
            </w:r>
          </w:p>
          <w:p w14:paraId="4775FF57" w14:textId="77777777"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  <w:tr w:rsidR="002D3E5B" w:rsidRPr="00847DED" w14:paraId="2A337CDF" w14:textId="77777777" w:rsidTr="00F10460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BE95" w14:textId="77777777" w:rsidR="002D3E5B" w:rsidRPr="00847DED" w:rsidRDefault="002D3E5B" w:rsidP="001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</w:t>
            </w:r>
          </w:p>
          <w:p w14:paraId="5B833F5B" w14:textId="77777777"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14:paraId="55226F1B" w14:textId="77777777"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51FA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14:paraId="0B0E9E45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 gereklerini bilmek.</w:t>
            </w:r>
          </w:p>
          <w:p w14:paraId="4ADA6441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  <w:proofErr w:type="gramEnd"/>
          </w:p>
          <w:p w14:paraId="3744EB61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  <w:proofErr w:type="gramEnd"/>
          </w:p>
          <w:p w14:paraId="6A06B2F1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1E0BA510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Sorumluluk alma ve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inisiyatif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kullanma becerisine sahip olmak.</w:t>
            </w:r>
          </w:p>
          <w:p w14:paraId="3FC824AA" w14:textId="77777777"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  <w:proofErr w:type="gramEnd"/>
          </w:p>
          <w:p w14:paraId="7C335D07" w14:textId="77777777" w:rsidR="002D3E5B" w:rsidRDefault="001001FA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  <w:p w14:paraId="5984DC7D" w14:textId="77777777" w:rsidR="00B25EB5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867E" w14:textId="77777777" w:rsidR="00B25EB5" w:rsidRPr="00847DED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14:paraId="4C7BA77F" w14:textId="77777777" w:rsidTr="00F10460">
        <w:tblPrEx>
          <w:tblCellMar>
            <w:left w:w="160" w:type="dxa"/>
            <w:right w:w="105" w:type="dxa"/>
          </w:tblCellMar>
        </w:tblPrEx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3C79" w14:textId="77777777" w:rsidR="002D3E5B" w:rsidRPr="00847DED" w:rsidRDefault="002D3E5B" w:rsidP="00F1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00A" w14:textId="77777777"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alt birimleri ve görevli tüm personel,</w:t>
            </w:r>
          </w:p>
          <w:p w14:paraId="0BB477C8" w14:textId="77777777"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 Bölüm ve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Anabilim Dalı Başkanlıkları,</w:t>
            </w:r>
          </w:p>
          <w:p w14:paraId="2563E8C8" w14:textId="77777777"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Rektörlük ve Rektörlük birimleri,</w:t>
            </w:r>
          </w:p>
          <w:p w14:paraId="04E6122F" w14:textId="77777777"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Senato, İlgili Kurul ve Komisyonlar, </w:t>
            </w:r>
          </w:p>
          <w:p w14:paraId="09543A2B" w14:textId="77777777" w:rsidR="002D3E5B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  <w:p w14:paraId="7F4833B9" w14:textId="77777777" w:rsid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53194" w14:textId="77777777" w:rsidR="00B25EB5" w:rsidRP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14:paraId="53DB563D" w14:textId="77777777" w:rsidTr="00F10460">
        <w:tblPrEx>
          <w:tblCellMar>
            <w:left w:w="160" w:type="dxa"/>
            <w:right w:w="105" w:type="dxa"/>
          </w:tblCellMar>
        </w:tblPrEx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9DD6" w14:textId="77777777" w:rsidR="002D3E5B" w:rsidRPr="00847DED" w:rsidRDefault="002D3E5B" w:rsidP="00F10460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765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14:paraId="50FDE090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14:paraId="369CCA1B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380246D3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14:paraId="4A63DE66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6698 sayılı Kişisel Verilerin Korunması Kanunu</w:t>
            </w:r>
          </w:p>
          <w:p w14:paraId="7457CF69" w14:textId="77777777"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Üniversitelerde Akademik Teşkilât Yönetmeliği</w:t>
            </w:r>
          </w:p>
          <w:p w14:paraId="67BCDF9C" w14:textId="77777777" w:rsidR="002D3E5B" w:rsidRPr="00847DED" w:rsidRDefault="0023210F" w:rsidP="0023210F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Yükseköğretim Üst Kuruluşları ile Yükseköğretim Kurumları idari Teşkilatı Hakkındaki Kanun Hükmündeki Kararname</w:t>
            </w:r>
          </w:p>
        </w:tc>
      </w:tr>
    </w:tbl>
    <w:p w14:paraId="20883196" w14:textId="77777777" w:rsidR="002D3E5B" w:rsidRPr="007676CE" w:rsidRDefault="002D3E5B" w:rsidP="002D3E5B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14:paraId="23E30FA6" w14:textId="77777777" w:rsidR="002D3E5B" w:rsidRDefault="002D3E5B" w:rsidP="002D3E5B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14:paraId="58DC2A12" w14:textId="77777777" w:rsidR="002D3E5B" w:rsidRPr="007676CE" w:rsidRDefault="002D3E5B" w:rsidP="002D3E5B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14:paraId="1146DB6B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665C5A68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00052D03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619C8EC6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4E1E3518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77E7C862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11FF62AC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0D7918C2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79B78DC2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11C65007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7FF8DC74" w14:textId="77777777"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14:paraId="092E4C06" w14:textId="77777777" w:rsidR="002D3E5B" w:rsidRDefault="002D3E5B" w:rsidP="001453D5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14:paraId="50273BA6" w14:textId="77777777" w:rsidR="002D3E5B" w:rsidRDefault="002D3E5B" w:rsidP="002D3E5B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14:paraId="0C28355C" w14:textId="77777777" w:rsidR="002D3E5B" w:rsidRDefault="002D3E5B" w:rsidP="002D3E5B"/>
    <w:tbl>
      <w:tblPr>
        <w:tblStyle w:val="TableGrid"/>
        <w:tblpPr w:vertAnchor="page" w:horzAnchor="margin" w:tblpY="1024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C04DD9" w14:paraId="379C7609" w14:textId="77777777" w:rsidTr="00C04DD9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D08" w14:textId="77777777" w:rsidR="00C04DD9" w:rsidRDefault="00C04DD9" w:rsidP="00C04DD9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81B" w14:textId="77777777" w:rsidR="00C04DD9" w:rsidRDefault="00C04DD9" w:rsidP="00C04DD9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0260" w14:textId="77777777" w:rsidR="00C04DD9" w:rsidRDefault="00C04DD9" w:rsidP="00C04DD9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A0E" w14:textId="77777777" w:rsidR="00C04DD9" w:rsidRDefault="00C04DD9" w:rsidP="00C04DD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D203" w14:textId="77777777" w:rsidR="00C04DD9" w:rsidRDefault="00C04DD9" w:rsidP="00C04DD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C04DD9" w14:paraId="55CFA1AE" w14:textId="77777777" w:rsidTr="00C04DD9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12E9" w14:textId="77777777" w:rsidR="00C04DD9" w:rsidRDefault="00C04DD9" w:rsidP="00C04DD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2DBD" w14:textId="77777777" w:rsidR="00C04DD9" w:rsidRDefault="00C04DD9" w:rsidP="00C04DD9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53C" w14:textId="77777777" w:rsidR="00C04DD9" w:rsidRDefault="00C04DD9" w:rsidP="00C04DD9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F603" w14:textId="77777777" w:rsidR="00C04DD9" w:rsidRDefault="00C04DD9" w:rsidP="00C04DD9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BB6A" w14:textId="77777777" w:rsidR="00C04DD9" w:rsidRDefault="00C04DD9" w:rsidP="00C04DD9"/>
        </w:tc>
      </w:tr>
    </w:tbl>
    <w:p w14:paraId="71006368" w14:textId="77777777" w:rsidR="00611145" w:rsidRDefault="00611145" w:rsidP="002D3E5B"/>
    <w:p w14:paraId="36F273E2" w14:textId="77777777" w:rsidR="0023210F" w:rsidRDefault="0023210F" w:rsidP="002D3E5B"/>
    <w:tbl>
      <w:tblPr>
        <w:tblpPr w:leftFromText="141" w:rightFromText="141" w:vertAnchor="text" w:horzAnchor="margin" w:tblpY="27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C04DD9" w:rsidRPr="009E7182" w14:paraId="2418F7D2" w14:textId="77777777" w:rsidTr="00F31520">
        <w:tc>
          <w:tcPr>
            <w:tcW w:w="1183" w:type="dxa"/>
            <w:shd w:val="clear" w:color="auto" w:fill="auto"/>
          </w:tcPr>
          <w:p w14:paraId="0E547C8C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lastRenderedPageBreak/>
              <w:t>Revizyon No</w:t>
            </w:r>
          </w:p>
        </w:tc>
        <w:tc>
          <w:tcPr>
            <w:tcW w:w="1082" w:type="dxa"/>
          </w:tcPr>
          <w:p w14:paraId="5A3AB95C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14:paraId="19E5E899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C04DD9" w:rsidRPr="009E7182" w14:paraId="499B1861" w14:textId="77777777" w:rsidTr="00F31520">
        <w:tc>
          <w:tcPr>
            <w:tcW w:w="1183" w:type="dxa"/>
            <w:shd w:val="clear" w:color="auto" w:fill="auto"/>
          </w:tcPr>
          <w:p w14:paraId="6CE7FCA4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14:paraId="1AD4191D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</w:t>
            </w:r>
            <w:proofErr w:type="gramStart"/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  <w:proofErr w:type="gramEnd"/>
          </w:p>
        </w:tc>
        <w:tc>
          <w:tcPr>
            <w:tcW w:w="7077" w:type="dxa"/>
            <w:shd w:val="clear" w:color="auto" w:fill="auto"/>
          </w:tcPr>
          <w:p w14:paraId="55D438FD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C04DD9" w:rsidRPr="009E7182" w14:paraId="4DDA5AD8" w14:textId="77777777" w:rsidTr="00F31520">
        <w:tc>
          <w:tcPr>
            <w:tcW w:w="1183" w:type="dxa"/>
            <w:shd w:val="clear" w:color="auto" w:fill="auto"/>
          </w:tcPr>
          <w:p w14:paraId="5E030C3D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35F9798C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3EB8AD3A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14:paraId="356CD346" w14:textId="77777777" w:rsidTr="00F31520">
        <w:tc>
          <w:tcPr>
            <w:tcW w:w="1183" w:type="dxa"/>
            <w:shd w:val="clear" w:color="auto" w:fill="auto"/>
          </w:tcPr>
          <w:p w14:paraId="4CDBE2F7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2A9EF70C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2F784E9E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14:paraId="17C8946D" w14:textId="77777777" w:rsidTr="00F31520">
        <w:tc>
          <w:tcPr>
            <w:tcW w:w="1183" w:type="dxa"/>
            <w:shd w:val="clear" w:color="auto" w:fill="auto"/>
          </w:tcPr>
          <w:p w14:paraId="2AF1F009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1E924750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6CC68AD2" w14:textId="77777777"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4F2D013" w14:textId="77777777"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71401" w14:textId="77777777" w:rsidR="00041046" w:rsidRDefault="00041046" w:rsidP="00F374DC">
      <w:pPr>
        <w:spacing w:after="0" w:line="240" w:lineRule="auto"/>
      </w:pPr>
      <w:r>
        <w:separator/>
      </w:r>
    </w:p>
  </w:endnote>
  <w:endnote w:type="continuationSeparator" w:id="0">
    <w:p w14:paraId="552B070C" w14:textId="77777777" w:rsidR="00041046" w:rsidRDefault="00041046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6607CBF9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040E02AC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288931F0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324D9988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5428F9EE" w14:textId="77777777"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2404CE" w14:paraId="31BD4B24" w14:textId="77777777" w:rsidTr="00960831">
      <w:trPr>
        <w:trHeight w:val="72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1776723C" w14:textId="77777777" w:rsidR="002404CE" w:rsidRDefault="002404CE" w:rsidP="002404CE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  HAZIRLAYAN</w:t>
          </w:r>
        </w:p>
        <w:p w14:paraId="360936D9" w14:textId="77777777" w:rsidR="002404CE" w:rsidRDefault="002404CE" w:rsidP="002404C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14:paraId="1A89EE83" w14:textId="77777777" w:rsidR="002404CE" w:rsidRDefault="002404CE" w:rsidP="002404CE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Teknisyen</w:t>
          </w:r>
        </w:p>
        <w:p w14:paraId="388FDC99" w14:textId="77777777" w:rsidR="002404CE" w:rsidRDefault="002404CE" w:rsidP="002404C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14:paraId="7A931DA9" w14:textId="777D280D" w:rsidR="002404CE" w:rsidRDefault="002404CE" w:rsidP="002404CE">
          <w:pPr>
            <w:ind w:left="396"/>
            <w:jc w:val="center"/>
          </w:pP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14:paraId="0AB254A4" w14:textId="77777777" w:rsidR="002404CE" w:rsidRDefault="002404CE" w:rsidP="002404C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14:paraId="7665CA61" w14:textId="77777777" w:rsidR="002404CE" w:rsidRDefault="002404CE" w:rsidP="002404CE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14:paraId="3A11E1EB" w14:textId="77777777" w:rsidR="002404CE" w:rsidRDefault="002404CE" w:rsidP="002404CE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        Fakülte Sekreteri</w:t>
          </w:r>
        </w:p>
        <w:p w14:paraId="4AE1B9A5" w14:textId="020EBE97" w:rsidR="002404CE" w:rsidRDefault="002404CE" w:rsidP="002404CE">
          <w:pPr>
            <w:ind w:left="7"/>
            <w:jc w:val="center"/>
          </w:pP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14:paraId="44552C09" w14:textId="77777777" w:rsidR="002404CE" w:rsidRDefault="002404CE" w:rsidP="002404C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14:paraId="1287351B" w14:textId="77777777" w:rsidR="002404CE" w:rsidRDefault="002404CE" w:rsidP="002404CE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14:paraId="11D19E94" w14:textId="70C24B42" w:rsidR="002404CE" w:rsidRDefault="002404CE" w:rsidP="002404CE">
          <w:pPr>
            <w:jc w:val="center"/>
          </w:pPr>
          <w:r>
            <w:rPr>
              <w:sz w:val="20"/>
              <w:szCs w:val="20"/>
              <w:lang w:eastAsia="en-US"/>
            </w:rPr>
            <w:t xml:space="preserve">  Dekan</w:t>
          </w:r>
        </w:p>
      </w:tc>
    </w:tr>
  </w:tbl>
  <w:p w14:paraId="45F87779" w14:textId="77777777"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21C29F18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649E2EC3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2374D3EC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53F2B97C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425E156A" w14:textId="77777777"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FB92A" w14:textId="77777777" w:rsidR="00041046" w:rsidRDefault="00041046" w:rsidP="00F374DC">
      <w:pPr>
        <w:spacing w:after="0" w:line="240" w:lineRule="auto"/>
      </w:pPr>
      <w:r>
        <w:separator/>
      </w:r>
    </w:p>
  </w:footnote>
  <w:footnote w:type="continuationSeparator" w:id="0">
    <w:p w14:paraId="3E595271" w14:textId="77777777" w:rsidR="00041046" w:rsidRDefault="00041046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3ED9306A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04005CD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32B4A96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025FF33F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D2316C5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62D4940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45F03159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60366F1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910817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3C8768DF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2AA1F8C0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22D0BA4A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31CF117F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DD69869" wp14:editId="7CA1A837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6FDF10D9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5B963B42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14:paraId="2D6C3881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2BC08B6D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00C9B3FA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B11434F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605039E3" w14:textId="77777777"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GT-SBF-36</w:t>
          </w:r>
        </w:p>
      </w:tc>
    </w:tr>
    <w:tr w:rsidR="007221E1" w14:paraId="0474AFFF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50A309F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2F82373" w14:textId="77777777"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 w14:paraId="521D198B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0B908C7B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4369EFB0" w14:textId="3A698872" w:rsidR="007221E1" w:rsidRDefault="002404CE" w:rsidP="002404CE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 w14:paraId="2E71A145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4169BDF1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10A8953B" w14:textId="266ED65F" w:rsidR="007221E1" w:rsidRDefault="002404CE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bookmarkStart w:id="0" w:name="_GoBack"/>
          <w:bookmarkEnd w:id="0"/>
        </w:p>
      </w:tc>
    </w:tr>
  </w:tbl>
  <w:p w14:paraId="5844ADAE" w14:textId="77777777"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BF4F66" wp14:editId="2655DAFE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14:paraId="5DC7CF57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556A225B" w14:textId="77777777"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14:paraId="63B4F085" w14:textId="77777777"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2F7C1B00" w14:textId="77777777" w:rsidR="00C04DD9" w:rsidRPr="00C04DD9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 w:rsidR="00C04DD9">
      <w:rPr>
        <w:rFonts w:ascii="Times New Roman" w:eastAsia="Times New Roman" w:hAnsi="Times New Roman" w:cs="Times New Roman"/>
        <w:b/>
        <w:color w:val="2E74B5"/>
        <w:sz w:val="32"/>
      </w:rPr>
      <w:t xml:space="preserve">                        </w:t>
    </w:r>
    <w:r w:rsidR="00C04DD9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DEKAN YARDIMCISI </w:t>
    </w:r>
  </w:p>
  <w:p w14:paraId="47248C11" w14:textId="77777777" w:rsidR="007221E1" w:rsidRPr="00C04DD9" w:rsidRDefault="00C04DD9">
    <w:pPr>
      <w:tabs>
        <w:tab w:val="center" w:pos="5245"/>
      </w:tabs>
      <w:spacing w:after="0"/>
      <w:ind w:left="-34"/>
      <w:rPr>
        <w:color w:val="1F4E79" w:themeColor="accent1" w:themeShade="80"/>
      </w:rPr>
    </w:pPr>
    <w:r w:rsidRPr="00C04DD9">
      <w:rPr>
        <w:rFonts w:ascii="Times New Roman" w:eastAsia="Times New Roman" w:hAnsi="Times New Roman" w:cs="Times New Roman"/>
        <w:i/>
        <w:color w:val="1F4E79" w:themeColor="accent1" w:themeShade="80"/>
        <w:sz w:val="18"/>
      </w:rPr>
      <w:t xml:space="preserve">                                                                                             </w:t>
    </w:r>
    <w:r w:rsidR="007221E1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GÖREV TANIMI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3BB44ED2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89356CA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77557C1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2769EF4C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0F40A19D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D84B6E9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045D1AB3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60E0A9B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B9A78A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3E7740C5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02D5F609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54C62CD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7FFC9E6E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6BEFB12" wp14:editId="27B2AF3E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1956CC23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31E21D07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14:paraId="4A8065DE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3AD0C4B3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41046"/>
    <w:rsid w:val="00057817"/>
    <w:rsid w:val="000842E2"/>
    <w:rsid w:val="000B51FC"/>
    <w:rsid w:val="000C6872"/>
    <w:rsid w:val="000E338A"/>
    <w:rsid w:val="000F62DC"/>
    <w:rsid w:val="001001FA"/>
    <w:rsid w:val="001217BA"/>
    <w:rsid w:val="001436B6"/>
    <w:rsid w:val="001453D5"/>
    <w:rsid w:val="00154CE8"/>
    <w:rsid w:val="00155D87"/>
    <w:rsid w:val="0015673D"/>
    <w:rsid w:val="001A204A"/>
    <w:rsid w:val="0021352B"/>
    <w:rsid w:val="0023210F"/>
    <w:rsid w:val="002404CE"/>
    <w:rsid w:val="00272D7B"/>
    <w:rsid w:val="002776B8"/>
    <w:rsid w:val="00291001"/>
    <w:rsid w:val="00295C2A"/>
    <w:rsid w:val="0029796A"/>
    <w:rsid w:val="002A7CA3"/>
    <w:rsid w:val="002D3E5B"/>
    <w:rsid w:val="002D43CA"/>
    <w:rsid w:val="00327DEA"/>
    <w:rsid w:val="003360B0"/>
    <w:rsid w:val="003512EF"/>
    <w:rsid w:val="0039738C"/>
    <w:rsid w:val="003B0D4D"/>
    <w:rsid w:val="003B3A0C"/>
    <w:rsid w:val="004C1FEA"/>
    <w:rsid w:val="004C7830"/>
    <w:rsid w:val="004D31BB"/>
    <w:rsid w:val="004E0A91"/>
    <w:rsid w:val="004E49C7"/>
    <w:rsid w:val="0056093A"/>
    <w:rsid w:val="005853E7"/>
    <w:rsid w:val="005D09FF"/>
    <w:rsid w:val="005D33F4"/>
    <w:rsid w:val="005F2B5A"/>
    <w:rsid w:val="00611145"/>
    <w:rsid w:val="00687A83"/>
    <w:rsid w:val="006902DE"/>
    <w:rsid w:val="006A44E5"/>
    <w:rsid w:val="006A5C9A"/>
    <w:rsid w:val="006F1C71"/>
    <w:rsid w:val="007217CE"/>
    <w:rsid w:val="007221E1"/>
    <w:rsid w:val="00725A1E"/>
    <w:rsid w:val="0077427E"/>
    <w:rsid w:val="007805A9"/>
    <w:rsid w:val="007F4D15"/>
    <w:rsid w:val="0081768D"/>
    <w:rsid w:val="00833112"/>
    <w:rsid w:val="00836601"/>
    <w:rsid w:val="00847DED"/>
    <w:rsid w:val="008509BE"/>
    <w:rsid w:val="00881BAE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D1E5D"/>
    <w:rsid w:val="00B00B27"/>
    <w:rsid w:val="00B25EB5"/>
    <w:rsid w:val="00B31730"/>
    <w:rsid w:val="00B356B8"/>
    <w:rsid w:val="00B42F5F"/>
    <w:rsid w:val="00B45FA8"/>
    <w:rsid w:val="00B46055"/>
    <w:rsid w:val="00B54CCF"/>
    <w:rsid w:val="00B70ED7"/>
    <w:rsid w:val="00B75F02"/>
    <w:rsid w:val="00B80C4A"/>
    <w:rsid w:val="00B81CE1"/>
    <w:rsid w:val="00B95E64"/>
    <w:rsid w:val="00BD5A22"/>
    <w:rsid w:val="00BE3EB9"/>
    <w:rsid w:val="00C03584"/>
    <w:rsid w:val="00C04DD9"/>
    <w:rsid w:val="00C3176E"/>
    <w:rsid w:val="00C666F9"/>
    <w:rsid w:val="00CF570C"/>
    <w:rsid w:val="00CF7819"/>
    <w:rsid w:val="00D20632"/>
    <w:rsid w:val="00D25AAC"/>
    <w:rsid w:val="00D261D1"/>
    <w:rsid w:val="00D42392"/>
    <w:rsid w:val="00D51644"/>
    <w:rsid w:val="00D522F2"/>
    <w:rsid w:val="00D63839"/>
    <w:rsid w:val="00DC5296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046BF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2404C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04CE"/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BDB8-B318-4BE9-B063-375D2D2B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2024-07-29T10:22:00Z</dcterms:created>
  <dcterms:modified xsi:type="dcterms:W3CDTF">2026-02-09T11:58:00Z</dcterms:modified>
</cp:coreProperties>
</file>